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1257" w14:textId="77777777" w:rsidR="00BC5FFA" w:rsidRDefault="00E02E41" w:rsidP="009D49EE">
      <w:pPr>
        <w:pStyle w:val="LABBody"/>
      </w:pPr>
      <w:r>
        <w:rPr>
          <w:noProof/>
          <w:lang w:eastAsia="en-IE"/>
        </w:rPr>
        <w:drawing>
          <wp:anchor distT="0" distB="0" distL="114300" distR="114300" simplePos="0" relativeHeight="251658240" behindDoc="1" locked="0" layoutInCell="1" allowOverlap="1" wp14:anchorId="015DCE62" wp14:editId="06C33D94">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4E4AAE" w14:textId="77777777" w:rsidR="00BC5FFA" w:rsidRDefault="00BC5FFA" w:rsidP="009D49EE">
      <w:pPr>
        <w:pStyle w:val="LABBody"/>
      </w:pPr>
    </w:p>
    <w:p w14:paraId="5493BC18" w14:textId="77777777" w:rsidR="00BC5FFA" w:rsidRDefault="00BC5FFA" w:rsidP="009D49EE">
      <w:pPr>
        <w:pStyle w:val="LABBody"/>
      </w:pPr>
    </w:p>
    <w:p w14:paraId="42A3B81D" w14:textId="77777777" w:rsidR="00BC5FFA" w:rsidRDefault="00BC5FFA" w:rsidP="009D49EE">
      <w:pPr>
        <w:pStyle w:val="LABBody"/>
      </w:pPr>
    </w:p>
    <w:p w14:paraId="1DDB10BF" w14:textId="77777777" w:rsidR="00BC5FFA" w:rsidRDefault="00BC5FFA" w:rsidP="009D49EE">
      <w:pPr>
        <w:pStyle w:val="LABBody"/>
      </w:pPr>
    </w:p>
    <w:p w14:paraId="781E2B8D" w14:textId="77777777" w:rsidR="00603EF0" w:rsidRPr="00603EF0" w:rsidRDefault="00603EF0" w:rsidP="009D49EE">
      <w:pPr>
        <w:pStyle w:val="LABBody"/>
      </w:pPr>
    </w:p>
    <w:p w14:paraId="3879BAF5" w14:textId="77777777" w:rsidR="00E02E41" w:rsidRDefault="00E02E41" w:rsidP="009D49EE">
      <w:pPr>
        <w:pStyle w:val="LABBody"/>
      </w:pPr>
    </w:p>
    <w:p w14:paraId="310610DD" w14:textId="77777777" w:rsidR="00A36106" w:rsidRPr="00C22577" w:rsidRDefault="00E02E41" w:rsidP="009D49EE">
      <w:pPr>
        <w:pStyle w:val="LABBody"/>
        <w:rPr>
          <w:rStyle w:val="InitialStyle"/>
          <w:rFonts w:ascii="Arial" w:hAnsi="Arial" w:cs="Arial"/>
          <w:b/>
          <w:bCs/>
          <w:color w:val="C9541C"/>
          <w:sz w:val="28"/>
        </w:rPr>
      </w:pPr>
      <w:r>
        <w:rPr>
          <w:noProof/>
          <w:lang w:eastAsia="en-IE"/>
        </w:rPr>
        <mc:AlternateContent>
          <mc:Choice Requires="wpg">
            <w:drawing>
              <wp:anchor distT="0" distB="0" distL="114300" distR="114300" simplePos="0" relativeHeight="251662336" behindDoc="0" locked="0" layoutInCell="1" allowOverlap="1" wp14:anchorId="0B1DFE2F" wp14:editId="18ACFE85">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3DEA11D0" w14:textId="53F06DA8" w:rsidR="00DC049E" w:rsidRPr="00D27CFC" w:rsidRDefault="00372EA7" w:rsidP="00A36106">
                              <w:pPr>
                                <w:pStyle w:val="LABSection"/>
                                <w:rPr>
                                  <w:color w:val="E36C0A" w:themeColor="accent6" w:themeShade="BF"/>
                                  <w:szCs w:val="44"/>
                                  <w14:textOutline w14:w="9525" w14:cap="rnd" w14:cmpd="sng" w14:algn="ctr">
                                    <w14:noFill/>
                                    <w14:prstDash w14:val="solid"/>
                                    <w14:bevel/>
                                  </w14:textOutline>
                                </w:rPr>
                              </w:pPr>
                              <w:r>
                                <w:rPr>
                                  <w:color w:val="E36C0A" w:themeColor="accent6" w:themeShade="BF"/>
                                  <w:szCs w:val="44"/>
                                  <w14:textOutline w14:w="9525" w14:cap="rnd" w14:cmpd="sng" w14:algn="ctr">
                                    <w14:noFill/>
                                    <w14:prstDash w14:val="solid"/>
                                    <w14:bevel/>
                                  </w14:textOutline>
                                </w:rPr>
                                <w:t>2024</w:t>
                              </w:r>
                            </w:p>
                            <w:p w14:paraId="57BA21B1" w14:textId="49ABA112" w:rsidR="00DC049E" w:rsidRPr="00C9008D" w:rsidRDefault="00372EA7" w:rsidP="00A36106">
                              <w:pPr>
                                <w:pStyle w:val="LABSection"/>
                                <w:rPr>
                                  <w:color w:val="005C78"/>
                                  <w:sz w:val="72"/>
                                  <w:szCs w:val="72"/>
                                  <w14:textOutline w14:w="9525" w14:cap="rnd" w14:cmpd="sng" w14:algn="ctr">
                                    <w14:noFill/>
                                    <w14:prstDash w14:val="solid"/>
                                    <w14:bevel/>
                                  </w14:textOutline>
                                </w:rPr>
                              </w:pPr>
                              <w:r>
                                <w:rPr>
                                  <w:color w:val="005C78"/>
                                  <w:sz w:val="72"/>
                                  <w:szCs w:val="72"/>
                                  <w14:textOutline w14:w="9525" w14:cap="rnd" w14:cmpd="sng" w14:algn="ctr">
                                    <w14:noFill/>
                                    <w14:prstDash w14:val="solid"/>
                                    <w14:bevel/>
                                  </w14:textOutline>
                                </w:rPr>
                                <w:t xml:space="preserve">Protected Disclosures Annual Report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B1DFE2F"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DEA11D0" w14:textId="53F06DA8" w:rsidR="00DC049E" w:rsidRPr="00D27CFC" w:rsidRDefault="00372EA7" w:rsidP="00A36106">
                        <w:pPr>
                          <w:pStyle w:val="LABSection"/>
                          <w:rPr>
                            <w:color w:val="E36C0A" w:themeColor="accent6" w:themeShade="BF"/>
                            <w:szCs w:val="44"/>
                            <w14:textOutline w14:w="9525" w14:cap="rnd" w14:cmpd="sng" w14:algn="ctr">
                              <w14:noFill/>
                              <w14:prstDash w14:val="solid"/>
                              <w14:bevel/>
                            </w14:textOutline>
                          </w:rPr>
                        </w:pPr>
                        <w:r>
                          <w:rPr>
                            <w:color w:val="E36C0A" w:themeColor="accent6" w:themeShade="BF"/>
                            <w:szCs w:val="44"/>
                            <w14:textOutline w14:w="9525" w14:cap="rnd" w14:cmpd="sng" w14:algn="ctr">
                              <w14:noFill/>
                              <w14:prstDash w14:val="solid"/>
                              <w14:bevel/>
                            </w14:textOutline>
                          </w:rPr>
                          <w:t>2024</w:t>
                        </w:r>
                      </w:p>
                      <w:p w14:paraId="57BA21B1" w14:textId="49ABA112" w:rsidR="00DC049E" w:rsidRPr="00C9008D" w:rsidRDefault="00372EA7" w:rsidP="00A36106">
                        <w:pPr>
                          <w:pStyle w:val="LABSection"/>
                          <w:rPr>
                            <w:color w:val="005C78"/>
                            <w:sz w:val="72"/>
                            <w:szCs w:val="72"/>
                            <w14:textOutline w14:w="9525" w14:cap="rnd" w14:cmpd="sng" w14:algn="ctr">
                              <w14:noFill/>
                              <w14:prstDash w14:val="solid"/>
                              <w14:bevel/>
                            </w14:textOutline>
                          </w:rPr>
                        </w:pPr>
                        <w:r>
                          <w:rPr>
                            <w:color w:val="005C78"/>
                            <w:sz w:val="72"/>
                            <w:szCs w:val="72"/>
                            <w14:textOutline w14:w="9525" w14:cap="rnd" w14:cmpd="sng" w14:algn="ctr">
                              <w14:noFill/>
                              <w14:prstDash w14:val="solid"/>
                              <w14:bevel/>
                            </w14:textOutline>
                          </w:rPr>
                          <w:t xml:space="preserve">Protected Disclosures Annual Report </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68921D6D" w14:textId="77777777" w:rsidR="008A74F5" w:rsidRPr="007B2BDF" w:rsidRDefault="008A74F5" w:rsidP="007B2BDF">
      <w:pPr>
        <w:pStyle w:val="LABBody10pt"/>
        <w:rPr>
          <w:sz w:val="24"/>
          <w:szCs w:val="24"/>
        </w:rPr>
      </w:pPr>
    </w:p>
    <w:p w14:paraId="076D1B7B" w14:textId="015E0656" w:rsidR="001F22C5" w:rsidRPr="00F876F2" w:rsidRDefault="001F22C5" w:rsidP="00F876F2">
      <w:pPr>
        <w:pStyle w:val="LABBody"/>
        <w:spacing w:line="276" w:lineRule="auto"/>
        <w:rPr>
          <w:sz w:val="24"/>
          <w:szCs w:val="24"/>
        </w:rPr>
      </w:pPr>
      <w:r w:rsidRPr="00F876F2">
        <w:rPr>
          <w:sz w:val="24"/>
          <w:szCs w:val="24"/>
        </w:rPr>
        <w:t xml:space="preserve">Under Section 22 of the Protected Disclosures Act 2014, each public body is required to publish an annual report setting out the number of protected disclosures </w:t>
      </w:r>
      <w:r w:rsidR="00C97B13" w:rsidRPr="00F876F2">
        <w:rPr>
          <w:sz w:val="24"/>
          <w:szCs w:val="24"/>
        </w:rPr>
        <w:t>received in</w:t>
      </w:r>
      <w:r w:rsidRPr="00F876F2">
        <w:rPr>
          <w:sz w:val="24"/>
          <w:szCs w:val="24"/>
        </w:rPr>
        <w:t xml:space="preserve"> the preceding year and the action taken. The publication of the data in the report must be provided in a way that protects the identity of reporting persons.  </w:t>
      </w:r>
    </w:p>
    <w:p w14:paraId="4EADF04C" w14:textId="6FA2E96B" w:rsidR="00D35AF9" w:rsidRPr="00F876F2" w:rsidRDefault="001F22C5" w:rsidP="00F876F2">
      <w:pPr>
        <w:pStyle w:val="LABBody"/>
        <w:spacing w:line="276" w:lineRule="auto"/>
        <w:rPr>
          <w:sz w:val="24"/>
          <w:szCs w:val="24"/>
        </w:rPr>
      </w:pPr>
      <w:r w:rsidRPr="00F876F2">
        <w:rPr>
          <w:sz w:val="24"/>
          <w:szCs w:val="24"/>
        </w:rPr>
        <w:t xml:space="preserve">By fostering and supporting a strong ethical culture, incorporating the principles of openness and transparency, the Legal Aid Board, (the Board) encourages workers to raise concerns regarding alleged wrongdoing in the workplace. </w:t>
      </w:r>
    </w:p>
    <w:p w14:paraId="690EF1CE" w14:textId="7270DA4C" w:rsidR="00D35AF9" w:rsidRPr="00F876F2" w:rsidRDefault="001F22C5" w:rsidP="00F876F2">
      <w:pPr>
        <w:pStyle w:val="LABBody"/>
        <w:spacing w:line="276" w:lineRule="auto"/>
        <w:rPr>
          <w:sz w:val="24"/>
          <w:szCs w:val="24"/>
        </w:rPr>
      </w:pPr>
      <w:r w:rsidRPr="00F876F2">
        <w:rPr>
          <w:sz w:val="24"/>
          <w:szCs w:val="24"/>
        </w:rPr>
        <w:t xml:space="preserve">The Legal Aid </w:t>
      </w:r>
      <w:r w:rsidR="00D35AF9" w:rsidRPr="00F876F2">
        <w:rPr>
          <w:sz w:val="24"/>
          <w:szCs w:val="24"/>
        </w:rPr>
        <w:t xml:space="preserve">Board </w:t>
      </w:r>
      <w:r w:rsidR="00C97B13" w:rsidRPr="00F876F2">
        <w:rPr>
          <w:sz w:val="24"/>
          <w:szCs w:val="24"/>
        </w:rPr>
        <w:t>has established</w:t>
      </w:r>
      <w:r w:rsidRPr="00F876F2">
        <w:rPr>
          <w:sz w:val="24"/>
          <w:szCs w:val="24"/>
        </w:rPr>
        <w:t xml:space="preserve"> internal reporting channels </w:t>
      </w:r>
      <w:r w:rsidR="00F876F2" w:rsidRPr="00F876F2">
        <w:rPr>
          <w:sz w:val="24"/>
          <w:szCs w:val="24"/>
        </w:rPr>
        <w:t xml:space="preserve">and procedures in </w:t>
      </w:r>
      <w:r w:rsidR="00BC5B0B" w:rsidRPr="00F876F2">
        <w:rPr>
          <w:sz w:val="24"/>
          <w:szCs w:val="24"/>
        </w:rPr>
        <w:t xml:space="preserve">accordance </w:t>
      </w:r>
      <w:proofErr w:type="gramStart"/>
      <w:r w:rsidR="00BC5B0B" w:rsidRPr="00F876F2">
        <w:rPr>
          <w:sz w:val="24"/>
          <w:szCs w:val="24"/>
        </w:rPr>
        <w:t>with</w:t>
      </w:r>
      <w:r w:rsidRPr="00F876F2">
        <w:rPr>
          <w:sz w:val="24"/>
          <w:szCs w:val="24"/>
        </w:rPr>
        <w:t xml:space="preserve">  the</w:t>
      </w:r>
      <w:proofErr w:type="gramEnd"/>
      <w:r w:rsidRPr="00F876F2">
        <w:rPr>
          <w:sz w:val="24"/>
          <w:szCs w:val="24"/>
        </w:rPr>
        <w:t xml:space="preserve">  Act. Information, </w:t>
      </w:r>
      <w:r w:rsidR="00C97B13" w:rsidRPr="00F876F2">
        <w:rPr>
          <w:sz w:val="24"/>
          <w:szCs w:val="24"/>
        </w:rPr>
        <w:t>including how</w:t>
      </w:r>
      <w:r w:rsidRPr="00F876F2">
        <w:rPr>
          <w:sz w:val="24"/>
          <w:szCs w:val="24"/>
        </w:rPr>
        <w:t xml:space="preserve"> to </w:t>
      </w:r>
      <w:r w:rsidR="00F876F2" w:rsidRPr="00F876F2">
        <w:rPr>
          <w:sz w:val="24"/>
          <w:szCs w:val="24"/>
        </w:rPr>
        <w:t xml:space="preserve">make a report </w:t>
      </w:r>
      <w:r w:rsidR="00BC5B0B" w:rsidRPr="00F876F2">
        <w:rPr>
          <w:sz w:val="24"/>
          <w:szCs w:val="24"/>
        </w:rPr>
        <w:t xml:space="preserve">under </w:t>
      </w:r>
      <w:proofErr w:type="gramStart"/>
      <w:r w:rsidR="00BC5B0B" w:rsidRPr="00F876F2">
        <w:rPr>
          <w:sz w:val="24"/>
          <w:szCs w:val="24"/>
        </w:rPr>
        <w:t>the</w:t>
      </w:r>
      <w:r w:rsidRPr="00F876F2">
        <w:rPr>
          <w:sz w:val="24"/>
          <w:szCs w:val="24"/>
        </w:rPr>
        <w:t xml:space="preserve">  Board’s</w:t>
      </w:r>
      <w:proofErr w:type="gramEnd"/>
      <w:r w:rsidRPr="00F876F2">
        <w:rPr>
          <w:sz w:val="24"/>
          <w:szCs w:val="24"/>
        </w:rPr>
        <w:t xml:space="preserve"> internal reporting channels  and the Ministerial reporting channels, is  provided on the Board’s website.   </w:t>
      </w:r>
    </w:p>
    <w:p w14:paraId="34F48614" w14:textId="62D6C75D" w:rsidR="001F22C5" w:rsidRPr="00F876F2" w:rsidRDefault="001F22C5" w:rsidP="00F876F2">
      <w:pPr>
        <w:pStyle w:val="LABBody"/>
        <w:spacing w:line="276" w:lineRule="auto"/>
        <w:rPr>
          <w:sz w:val="24"/>
          <w:szCs w:val="24"/>
        </w:rPr>
      </w:pPr>
      <w:r w:rsidRPr="00F876F2">
        <w:rPr>
          <w:rFonts w:eastAsiaTheme="minorHAnsi"/>
          <w:sz w:val="24"/>
          <w:szCs w:val="24"/>
          <w:lang w:eastAsia="en-US"/>
        </w:rPr>
        <w:t xml:space="preserve">The Board is a member of the Integrity at Work Programme, a Transparency International Ireland initiative. As part of its commitment to protecting workers who raise concerns of wrongdoing, the Board has signed and complies with the Integrity at Work Pledge to ensure that workers reporting wrongdoing will not face penalisation and that action will be taken in response to the concerns raised. </w:t>
      </w:r>
    </w:p>
    <w:p w14:paraId="5BA10EC2" w14:textId="7BCAB098" w:rsidR="001F22C5" w:rsidRPr="00F876F2" w:rsidRDefault="001F22C5" w:rsidP="00F876F2">
      <w:pPr>
        <w:pStyle w:val="LABBody"/>
        <w:spacing w:line="276" w:lineRule="auto"/>
        <w:rPr>
          <w:sz w:val="24"/>
          <w:szCs w:val="24"/>
        </w:rPr>
      </w:pPr>
      <w:hyperlink r:id="rId9" w:history="1">
        <w:r w:rsidRPr="00F876F2">
          <w:rPr>
            <w:rStyle w:val="Hyperlink"/>
            <w:sz w:val="24"/>
            <w:szCs w:val="24"/>
          </w:rPr>
          <w:t>Th</w:t>
        </w:r>
        <w:r w:rsidR="00D35AF9" w:rsidRPr="00F876F2">
          <w:rPr>
            <w:rStyle w:val="Hyperlink"/>
            <w:sz w:val="24"/>
            <w:szCs w:val="24"/>
          </w:rPr>
          <w:t>e Protected Disclosure reporting in the workplace Policy</w:t>
        </w:r>
      </w:hyperlink>
      <w:r w:rsidR="00D35AF9" w:rsidRPr="00F876F2">
        <w:rPr>
          <w:sz w:val="24"/>
          <w:szCs w:val="24"/>
        </w:rPr>
        <w:t xml:space="preserve"> </w:t>
      </w:r>
      <w:r w:rsidRPr="00F876F2">
        <w:rPr>
          <w:sz w:val="24"/>
          <w:szCs w:val="24"/>
        </w:rPr>
        <w:t>has been drafted with reference to the Act</w:t>
      </w:r>
      <w:r w:rsidR="002B3796" w:rsidRPr="00F876F2">
        <w:rPr>
          <w:sz w:val="24"/>
          <w:szCs w:val="24"/>
        </w:rPr>
        <w:t xml:space="preserve"> </w:t>
      </w:r>
      <w:r w:rsidRPr="00F876F2">
        <w:rPr>
          <w:sz w:val="24"/>
          <w:szCs w:val="24"/>
        </w:rPr>
        <w:t xml:space="preserve">and </w:t>
      </w:r>
      <w:r w:rsidR="002B3796" w:rsidRPr="00F876F2">
        <w:rPr>
          <w:sz w:val="24"/>
          <w:szCs w:val="24"/>
        </w:rPr>
        <w:t>Department of Public Expenditure, NDP Delivery and Reform St</w:t>
      </w:r>
      <w:r w:rsidRPr="00F876F2">
        <w:rPr>
          <w:sz w:val="24"/>
          <w:szCs w:val="24"/>
        </w:rPr>
        <w:t>atutory Guidance</w:t>
      </w:r>
      <w:r w:rsidR="002B3796" w:rsidRPr="00F876F2">
        <w:rPr>
          <w:sz w:val="24"/>
          <w:szCs w:val="24"/>
        </w:rPr>
        <w:t xml:space="preserve"> (Protected Disclosures Act)</w:t>
      </w:r>
      <w:r w:rsidRPr="00F876F2">
        <w:rPr>
          <w:sz w:val="24"/>
          <w:szCs w:val="24"/>
        </w:rPr>
        <w:t xml:space="preserve"> for public bodies and prescribed persons</w:t>
      </w:r>
      <w:r w:rsidR="002B3796" w:rsidRPr="00F876F2">
        <w:rPr>
          <w:sz w:val="24"/>
          <w:szCs w:val="24"/>
        </w:rPr>
        <w:t>,</w:t>
      </w:r>
      <w:r w:rsidRPr="00F876F2">
        <w:rPr>
          <w:sz w:val="24"/>
          <w:szCs w:val="24"/>
        </w:rPr>
        <w:t xml:space="preserve"> issued in November 2023.</w:t>
      </w:r>
    </w:p>
    <w:p w14:paraId="7D5F50D6" w14:textId="395FF908" w:rsidR="001F22C5" w:rsidRPr="00F876F2" w:rsidRDefault="001F22C5" w:rsidP="00F876F2">
      <w:pPr>
        <w:pStyle w:val="LABBody"/>
        <w:spacing w:line="276" w:lineRule="auto"/>
        <w:rPr>
          <w:sz w:val="24"/>
          <w:szCs w:val="24"/>
        </w:rPr>
      </w:pPr>
      <w:r w:rsidRPr="00F876F2">
        <w:rPr>
          <w:sz w:val="24"/>
          <w:szCs w:val="24"/>
        </w:rPr>
        <w:t xml:space="preserve">A Protected Disclosures Designated Person is available to provide information </w:t>
      </w:r>
      <w:r w:rsidR="00C97B13" w:rsidRPr="00F876F2">
        <w:rPr>
          <w:sz w:val="24"/>
          <w:szCs w:val="24"/>
        </w:rPr>
        <w:t>to Workers</w:t>
      </w:r>
      <w:r w:rsidRPr="00F876F2">
        <w:rPr>
          <w:sz w:val="24"/>
          <w:szCs w:val="24"/>
        </w:rPr>
        <w:t xml:space="preserve">. </w:t>
      </w:r>
      <w:r w:rsidRPr="00F876F2">
        <w:rPr>
          <w:sz w:val="24"/>
          <w:szCs w:val="24"/>
          <w:lang w:val="en-GB"/>
        </w:rPr>
        <w:t xml:space="preserve">Where it is intended to communicate the concern directly to the </w:t>
      </w:r>
      <w:r w:rsidRPr="00F876F2">
        <w:rPr>
          <w:sz w:val="24"/>
          <w:szCs w:val="24"/>
        </w:rPr>
        <w:t>designated person for protected disclosures</w:t>
      </w:r>
      <w:r w:rsidR="002B3796" w:rsidRPr="00F876F2">
        <w:rPr>
          <w:sz w:val="24"/>
          <w:szCs w:val="24"/>
        </w:rPr>
        <w:t>,</w:t>
      </w:r>
      <w:r w:rsidRPr="00F876F2">
        <w:rPr>
          <w:sz w:val="24"/>
          <w:szCs w:val="24"/>
        </w:rPr>
        <w:t xml:space="preserve"> the </w:t>
      </w:r>
      <w:r w:rsidRPr="00F876F2">
        <w:rPr>
          <w:sz w:val="24"/>
          <w:szCs w:val="24"/>
          <w:lang w:val="en-GB"/>
        </w:rPr>
        <w:t xml:space="preserve">report can be forwarded </w:t>
      </w:r>
      <w:r w:rsidR="002B3796" w:rsidRPr="00F876F2">
        <w:rPr>
          <w:sz w:val="24"/>
          <w:szCs w:val="24"/>
        </w:rPr>
        <w:t xml:space="preserve">to a </w:t>
      </w:r>
      <w:r w:rsidRPr="00F876F2">
        <w:rPr>
          <w:sz w:val="24"/>
          <w:szCs w:val="24"/>
        </w:rPr>
        <w:t xml:space="preserve">confidential email address at </w:t>
      </w:r>
      <w:hyperlink r:id="rId10" w:history="1">
        <w:r w:rsidR="00D35AF9" w:rsidRPr="00F876F2">
          <w:rPr>
            <w:rStyle w:val="Hyperlink"/>
            <w:sz w:val="24"/>
            <w:szCs w:val="24"/>
          </w:rPr>
          <w:t>protecteddisclosure@legalaidboard.ie</w:t>
        </w:r>
      </w:hyperlink>
      <w:r w:rsidR="00D35AF9" w:rsidRPr="00F876F2">
        <w:rPr>
          <w:sz w:val="24"/>
          <w:szCs w:val="24"/>
        </w:rPr>
        <w:t xml:space="preserve"> </w:t>
      </w:r>
      <w:r w:rsidR="002B3796" w:rsidRPr="00F876F2">
        <w:rPr>
          <w:sz w:val="24"/>
          <w:szCs w:val="24"/>
        </w:rPr>
        <w:t xml:space="preserve">which </w:t>
      </w:r>
      <w:r w:rsidRPr="00F876F2">
        <w:rPr>
          <w:sz w:val="24"/>
          <w:szCs w:val="24"/>
        </w:rPr>
        <w:t xml:space="preserve">enables workers </w:t>
      </w:r>
      <w:r w:rsidR="00C97B13" w:rsidRPr="00F876F2">
        <w:rPr>
          <w:sz w:val="24"/>
          <w:szCs w:val="24"/>
        </w:rPr>
        <w:t>to securely</w:t>
      </w:r>
      <w:r w:rsidRPr="00F876F2">
        <w:rPr>
          <w:sz w:val="24"/>
          <w:szCs w:val="24"/>
        </w:rPr>
        <w:t xml:space="preserve"> report concerns of wrongdoing.  </w:t>
      </w:r>
    </w:p>
    <w:p w14:paraId="7B87CE6B" w14:textId="556D3690" w:rsidR="001F22C5" w:rsidRPr="00F876F2" w:rsidRDefault="00D35AF9" w:rsidP="00F876F2">
      <w:pPr>
        <w:pStyle w:val="LABBody"/>
        <w:spacing w:line="276" w:lineRule="auto"/>
        <w:rPr>
          <w:sz w:val="24"/>
          <w:szCs w:val="24"/>
        </w:rPr>
      </w:pPr>
      <w:r w:rsidRPr="00F876F2">
        <w:rPr>
          <w:sz w:val="24"/>
          <w:szCs w:val="24"/>
        </w:rPr>
        <w:t xml:space="preserve">The </w:t>
      </w:r>
      <w:r w:rsidR="00F876F2" w:rsidRPr="00F876F2">
        <w:rPr>
          <w:sz w:val="24"/>
          <w:szCs w:val="24"/>
        </w:rPr>
        <w:t>Protected Disclosures (</w:t>
      </w:r>
      <w:r w:rsidR="006B37F9" w:rsidRPr="00F876F2">
        <w:rPr>
          <w:sz w:val="24"/>
          <w:szCs w:val="24"/>
        </w:rPr>
        <w:t xml:space="preserve">Amendment) </w:t>
      </w:r>
      <w:r w:rsidR="00BC5B0B" w:rsidRPr="00F876F2">
        <w:rPr>
          <w:sz w:val="24"/>
          <w:szCs w:val="24"/>
        </w:rPr>
        <w:t xml:space="preserve">Act </w:t>
      </w:r>
      <w:proofErr w:type="gramStart"/>
      <w:r w:rsidR="00BC5B0B" w:rsidRPr="00F876F2">
        <w:rPr>
          <w:sz w:val="24"/>
          <w:szCs w:val="24"/>
        </w:rPr>
        <w:t>2022</w:t>
      </w:r>
      <w:r w:rsidR="001F22C5" w:rsidRPr="00F876F2">
        <w:rPr>
          <w:sz w:val="24"/>
          <w:szCs w:val="24"/>
        </w:rPr>
        <w:t xml:space="preserve">  commenced</w:t>
      </w:r>
      <w:proofErr w:type="gramEnd"/>
      <w:r w:rsidR="001F22C5" w:rsidRPr="00F876F2">
        <w:rPr>
          <w:sz w:val="24"/>
          <w:szCs w:val="24"/>
        </w:rPr>
        <w:t xml:space="preserve">  operation  on  1  January   2023.   The   new   legislation   established   the   Office   of   the   </w:t>
      </w:r>
      <w:r w:rsidRPr="00F876F2">
        <w:rPr>
          <w:sz w:val="24"/>
          <w:szCs w:val="24"/>
        </w:rPr>
        <w:t>Protected Disclosures</w:t>
      </w:r>
      <w:r w:rsidR="001F22C5" w:rsidRPr="00F876F2">
        <w:rPr>
          <w:sz w:val="24"/>
          <w:szCs w:val="24"/>
        </w:rPr>
        <w:t xml:space="preserve"> Commissioner (OPDC).  </w:t>
      </w:r>
    </w:p>
    <w:p w14:paraId="7C634C1C" w14:textId="598A88C8" w:rsidR="00D35AF9" w:rsidRPr="00F876F2" w:rsidRDefault="00C97B13" w:rsidP="00F876F2">
      <w:pPr>
        <w:pStyle w:val="LABBody"/>
        <w:spacing w:line="276" w:lineRule="auto"/>
        <w:rPr>
          <w:sz w:val="24"/>
          <w:szCs w:val="24"/>
        </w:rPr>
      </w:pPr>
      <w:r w:rsidRPr="00F876F2">
        <w:rPr>
          <w:sz w:val="24"/>
          <w:szCs w:val="24"/>
        </w:rPr>
        <w:t xml:space="preserve">This </w:t>
      </w:r>
      <w:r w:rsidR="00F876F2" w:rsidRPr="00F876F2">
        <w:rPr>
          <w:sz w:val="24"/>
          <w:szCs w:val="24"/>
        </w:rPr>
        <w:t xml:space="preserve">annual report </w:t>
      </w:r>
      <w:r w:rsidR="006B37F9" w:rsidRPr="00F876F2">
        <w:rPr>
          <w:sz w:val="24"/>
          <w:szCs w:val="24"/>
        </w:rPr>
        <w:t xml:space="preserve">reflects </w:t>
      </w:r>
      <w:r w:rsidR="00BC5B0B" w:rsidRPr="00F876F2">
        <w:rPr>
          <w:sz w:val="24"/>
          <w:szCs w:val="24"/>
        </w:rPr>
        <w:t xml:space="preserve">all </w:t>
      </w:r>
      <w:proofErr w:type="gramStart"/>
      <w:r w:rsidR="00BC5B0B" w:rsidRPr="00F876F2">
        <w:rPr>
          <w:sz w:val="24"/>
          <w:szCs w:val="24"/>
        </w:rPr>
        <w:t>reports</w:t>
      </w:r>
      <w:r w:rsidR="001F22C5" w:rsidRPr="00F876F2">
        <w:rPr>
          <w:sz w:val="24"/>
          <w:szCs w:val="24"/>
        </w:rPr>
        <w:t xml:space="preserve">  of</w:t>
      </w:r>
      <w:proofErr w:type="gramEnd"/>
      <w:r w:rsidR="001F22C5" w:rsidRPr="00F876F2">
        <w:rPr>
          <w:sz w:val="24"/>
          <w:szCs w:val="24"/>
        </w:rPr>
        <w:t xml:space="preserve">  alleged  wrongdoing  received  by  the </w:t>
      </w:r>
      <w:r w:rsidR="002B3796" w:rsidRPr="00F876F2">
        <w:rPr>
          <w:sz w:val="24"/>
          <w:szCs w:val="24"/>
        </w:rPr>
        <w:t>Legal Aid</w:t>
      </w:r>
      <w:r w:rsidR="001F22C5" w:rsidRPr="00F876F2">
        <w:rPr>
          <w:sz w:val="24"/>
          <w:szCs w:val="24"/>
        </w:rPr>
        <w:t xml:space="preserve"> </w:t>
      </w:r>
      <w:r w:rsidR="007B2BDF" w:rsidRPr="00F876F2">
        <w:rPr>
          <w:sz w:val="24"/>
          <w:szCs w:val="24"/>
        </w:rPr>
        <w:t>Board</w:t>
      </w:r>
      <w:r w:rsidR="001F22C5" w:rsidRPr="00F876F2">
        <w:rPr>
          <w:sz w:val="24"/>
          <w:szCs w:val="24"/>
        </w:rPr>
        <w:t xml:space="preserve"> in 2024.  </w:t>
      </w:r>
    </w:p>
    <w:p w14:paraId="43292555" w14:textId="702EED2A" w:rsidR="001F22C5" w:rsidRPr="00F876F2" w:rsidRDefault="001F22C5" w:rsidP="00F876F2">
      <w:pPr>
        <w:pStyle w:val="LABBody"/>
        <w:spacing w:line="276" w:lineRule="auto"/>
        <w:rPr>
          <w:sz w:val="24"/>
          <w:szCs w:val="24"/>
        </w:rPr>
      </w:pPr>
      <w:r w:rsidRPr="00F876F2">
        <w:rPr>
          <w:sz w:val="24"/>
          <w:szCs w:val="24"/>
        </w:rPr>
        <w:t>In 2024</w:t>
      </w:r>
      <w:r w:rsidR="00F876F2">
        <w:rPr>
          <w:sz w:val="24"/>
          <w:szCs w:val="24"/>
        </w:rPr>
        <w:t xml:space="preserve">, </w:t>
      </w:r>
      <w:r w:rsidR="00C97B13" w:rsidRPr="00F876F2">
        <w:rPr>
          <w:sz w:val="24"/>
          <w:szCs w:val="24"/>
        </w:rPr>
        <w:t>4</w:t>
      </w:r>
      <w:r w:rsidRPr="00F876F2">
        <w:rPr>
          <w:sz w:val="24"/>
          <w:szCs w:val="24"/>
        </w:rPr>
        <w:t xml:space="preserve"> reports of alleged wrongdoing were received </w:t>
      </w:r>
      <w:r w:rsidR="00333F4D" w:rsidRPr="00F876F2">
        <w:rPr>
          <w:sz w:val="24"/>
          <w:szCs w:val="24"/>
        </w:rPr>
        <w:t xml:space="preserve">under the </w:t>
      </w:r>
      <w:r w:rsidR="00F876F2" w:rsidRPr="00F876F2">
        <w:rPr>
          <w:sz w:val="24"/>
          <w:szCs w:val="24"/>
        </w:rPr>
        <w:t>Board’s internal</w:t>
      </w:r>
      <w:r w:rsidR="00333F4D" w:rsidRPr="00F876F2">
        <w:rPr>
          <w:sz w:val="24"/>
          <w:szCs w:val="24"/>
        </w:rPr>
        <w:t xml:space="preserve"> reporting channels for assessment in 2024.  </w:t>
      </w:r>
      <w:r w:rsidRPr="00F876F2">
        <w:rPr>
          <w:sz w:val="24"/>
          <w:szCs w:val="24"/>
        </w:rPr>
        <w:t xml:space="preserve">The OPDC referred </w:t>
      </w:r>
      <w:r w:rsidR="002B3796" w:rsidRPr="00F876F2">
        <w:rPr>
          <w:sz w:val="24"/>
          <w:szCs w:val="24"/>
        </w:rPr>
        <w:t>1</w:t>
      </w:r>
      <w:r w:rsidRPr="00F876F2">
        <w:rPr>
          <w:sz w:val="24"/>
          <w:szCs w:val="24"/>
        </w:rPr>
        <w:t xml:space="preserve"> report of alleged wrongdoing to the </w:t>
      </w:r>
      <w:r w:rsidR="00333F4D" w:rsidRPr="00F876F2">
        <w:rPr>
          <w:sz w:val="24"/>
          <w:szCs w:val="24"/>
        </w:rPr>
        <w:t>Board</w:t>
      </w:r>
      <w:r w:rsidRPr="00F876F2">
        <w:rPr>
          <w:sz w:val="24"/>
          <w:szCs w:val="24"/>
        </w:rPr>
        <w:t xml:space="preserve"> </w:t>
      </w:r>
      <w:r w:rsidR="00D35AF9" w:rsidRPr="00F876F2">
        <w:rPr>
          <w:sz w:val="24"/>
          <w:szCs w:val="24"/>
        </w:rPr>
        <w:t>for assessment</w:t>
      </w:r>
      <w:r w:rsidRPr="00F876F2">
        <w:rPr>
          <w:sz w:val="24"/>
          <w:szCs w:val="24"/>
        </w:rPr>
        <w:t xml:space="preserve"> in 202</w:t>
      </w:r>
      <w:r w:rsidR="00333F4D" w:rsidRPr="00F876F2">
        <w:rPr>
          <w:sz w:val="24"/>
          <w:szCs w:val="24"/>
        </w:rPr>
        <w:t>4</w:t>
      </w:r>
      <w:r w:rsidRPr="00F876F2">
        <w:rPr>
          <w:sz w:val="24"/>
          <w:szCs w:val="24"/>
        </w:rPr>
        <w:t xml:space="preserve">.  </w:t>
      </w:r>
    </w:p>
    <w:p w14:paraId="7D0A195F" w14:textId="00DC8B03" w:rsidR="001F22C5" w:rsidRPr="00F876F2" w:rsidRDefault="00F876F2" w:rsidP="00F876F2">
      <w:pPr>
        <w:pStyle w:val="LABBody"/>
        <w:spacing w:line="276" w:lineRule="auto"/>
        <w:rPr>
          <w:sz w:val="24"/>
          <w:szCs w:val="24"/>
        </w:rPr>
      </w:pPr>
      <w:r>
        <w:rPr>
          <w:sz w:val="24"/>
          <w:szCs w:val="24"/>
        </w:rPr>
        <w:t xml:space="preserve">In total, </w:t>
      </w:r>
      <w:r w:rsidR="00333F4D" w:rsidRPr="00F876F2">
        <w:rPr>
          <w:sz w:val="24"/>
          <w:szCs w:val="24"/>
        </w:rPr>
        <w:t>5</w:t>
      </w:r>
      <w:r w:rsidR="001F22C5" w:rsidRPr="00F876F2">
        <w:rPr>
          <w:sz w:val="24"/>
          <w:szCs w:val="24"/>
        </w:rPr>
        <w:t xml:space="preserve"> reports of alleged wrongdoing were assessed by the </w:t>
      </w:r>
      <w:r w:rsidR="00333F4D" w:rsidRPr="00F876F2">
        <w:rPr>
          <w:sz w:val="24"/>
          <w:szCs w:val="24"/>
        </w:rPr>
        <w:t>Board</w:t>
      </w:r>
      <w:r w:rsidR="001F22C5" w:rsidRPr="00F876F2">
        <w:rPr>
          <w:sz w:val="24"/>
          <w:szCs w:val="24"/>
        </w:rPr>
        <w:t xml:space="preserve"> in 202</w:t>
      </w:r>
      <w:r w:rsidR="00333F4D" w:rsidRPr="00F876F2">
        <w:rPr>
          <w:sz w:val="24"/>
          <w:szCs w:val="24"/>
        </w:rPr>
        <w:t>4</w:t>
      </w:r>
      <w:r w:rsidR="001F22C5" w:rsidRPr="00F876F2">
        <w:rPr>
          <w:sz w:val="24"/>
          <w:szCs w:val="24"/>
        </w:rPr>
        <w:t xml:space="preserve">.  </w:t>
      </w:r>
      <w:r w:rsidR="002B3796" w:rsidRPr="00F876F2">
        <w:rPr>
          <w:sz w:val="24"/>
          <w:szCs w:val="24"/>
        </w:rPr>
        <w:t>1</w:t>
      </w:r>
      <w:r w:rsidR="00333F4D" w:rsidRPr="00F876F2">
        <w:rPr>
          <w:sz w:val="24"/>
          <w:szCs w:val="24"/>
        </w:rPr>
        <w:t xml:space="preserve"> of the 5 reports </w:t>
      </w:r>
      <w:r w:rsidR="001F22C5" w:rsidRPr="00F876F2">
        <w:rPr>
          <w:sz w:val="24"/>
          <w:szCs w:val="24"/>
        </w:rPr>
        <w:t xml:space="preserve">did not require investigation and </w:t>
      </w:r>
      <w:r w:rsidR="002B3796" w:rsidRPr="00F876F2">
        <w:rPr>
          <w:sz w:val="24"/>
          <w:szCs w:val="24"/>
        </w:rPr>
        <w:t xml:space="preserve">1 was </w:t>
      </w:r>
      <w:r w:rsidR="001F22C5" w:rsidRPr="00F876F2">
        <w:rPr>
          <w:sz w:val="24"/>
          <w:szCs w:val="24"/>
        </w:rPr>
        <w:t xml:space="preserve">undergoing assessment at </w:t>
      </w:r>
      <w:r w:rsidR="00D35AF9" w:rsidRPr="00F876F2">
        <w:rPr>
          <w:sz w:val="24"/>
          <w:szCs w:val="24"/>
        </w:rPr>
        <w:t>the year</w:t>
      </w:r>
      <w:r w:rsidR="001F22C5" w:rsidRPr="00F876F2">
        <w:rPr>
          <w:sz w:val="24"/>
          <w:szCs w:val="24"/>
        </w:rPr>
        <w:t xml:space="preserve">-end.  </w:t>
      </w:r>
    </w:p>
    <w:p w14:paraId="011BA662" w14:textId="02304E9E" w:rsidR="001F22C5" w:rsidRPr="00F876F2" w:rsidRDefault="001F22C5" w:rsidP="00F876F2">
      <w:pPr>
        <w:pStyle w:val="LABBody"/>
        <w:spacing w:line="276" w:lineRule="auto"/>
        <w:rPr>
          <w:sz w:val="24"/>
          <w:szCs w:val="24"/>
        </w:rPr>
      </w:pPr>
      <w:r w:rsidRPr="00F876F2">
        <w:rPr>
          <w:sz w:val="24"/>
          <w:szCs w:val="24"/>
        </w:rPr>
        <w:t>No reports relating to a potential breach of EU law as set out in Directive 2019/</w:t>
      </w:r>
      <w:r w:rsidR="00D35AF9" w:rsidRPr="00F876F2">
        <w:rPr>
          <w:sz w:val="24"/>
          <w:szCs w:val="24"/>
        </w:rPr>
        <w:t>1937 were</w:t>
      </w:r>
      <w:r w:rsidRPr="00F876F2">
        <w:rPr>
          <w:sz w:val="24"/>
          <w:szCs w:val="24"/>
        </w:rPr>
        <w:t xml:space="preserve"> assessed by the </w:t>
      </w:r>
      <w:r w:rsidR="00333F4D" w:rsidRPr="00F876F2">
        <w:rPr>
          <w:sz w:val="24"/>
          <w:szCs w:val="24"/>
        </w:rPr>
        <w:t>Board</w:t>
      </w:r>
      <w:r w:rsidRPr="00F876F2">
        <w:rPr>
          <w:sz w:val="24"/>
          <w:szCs w:val="24"/>
        </w:rPr>
        <w:t xml:space="preserve"> in 202</w:t>
      </w:r>
      <w:r w:rsidR="00333F4D" w:rsidRPr="00F876F2">
        <w:rPr>
          <w:sz w:val="24"/>
          <w:szCs w:val="24"/>
        </w:rPr>
        <w:t>4</w:t>
      </w:r>
      <w:r w:rsidRPr="00F876F2">
        <w:rPr>
          <w:sz w:val="24"/>
          <w:szCs w:val="24"/>
        </w:rPr>
        <w:t xml:space="preserve">.  </w:t>
      </w:r>
    </w:p>
    <w:p w14:paraId="4CAD1C40" w14:textId="77777777" w:rsidR="001F22C5" w:rsidRPr="00F876F2" w:rsidRDefault="001F22C5" w:rsidP="00F876F2">
      <w:pPr>
        <w:pStyle w:val="LABBody"/>
        <w:spacing w:line="276" w:lineRule="auto"/>
        <w:rPr>
          <w:sz w:val="24"/>
          <w:szCs w:val="24"/>
        </w:rPr>
      </w:pPr>
      <w:r w:rsidRPr="00F876F2">
        <w:rPr>
          <w:sz w:val="24"/>
          <w:szCs w:val="24"/>
        </w:rPr>
        <w:t xml:space="preserve">No anonymous reports were assessed by the </w:t>
      </w:r>
      <w:r w:rsidR="00333F4D" w:rsidRPr="00F876F2">
        <w:rPr>
          <w:sz w:val="24"/>
          <w:szCs w:val="24"/>
        </w:rPr>
        <w:t>Board</w:t>
      </w:r>
      <w:r w:rsidRPr="00F876F2">
        <w:rPr>
          <w:sz w:val="24"/>
          <w:szCs w:val="24"/>
        </w:rPr>
        <w:t xml:space="preserve"> in 202</w:t>
      </w:r>
      <w:r w:rsidR="00333F4D" w:rsidRPr="00F876F2">
        <w:rPr>
          <w:sz w:val="24"/>
          <w:szCs w:val="24"/>
        </w:rPr>
        <w:t>4</w:t>
      </w:r>
      <w:r w:rsidRPr="00F876F2">
        <w:rPr>
          <w:sz w:val="24"/>
          <w:szCs w:val="24"/>
        </w:rPr>
        <w:t xml:space="preserve">.  </w:t>
      </w:r>
    </w:p>
    <w:p w14:paraId="3F3FB0BF" w14:textId="5380893B" w:rsidR="001F22C5" w:rsidRPr="00F876F2" w:rsidRDefault="001F22C5" w:rsidP="00F876F2">
      <w:pPr>
        <w:pStyle w:val="LABBody"/>
        <w:spacing w:line="276" w:lineRule="auto"/>
        <w:rPr>
          <w:sz w:val="24"/>
          <w:szCs w:val="24"/>
        </w:rPr>
      </w:pPr>
    </w:p>
    <w:p w14:paraId="28219C7E" w14:textId="77777777" w:rsidR="001F22C5" w:rsidRPr="00F876F2" w:rsidRDefault="001F22C5" w:rsidP="00F876F2">
      <w:pPr>
        <w:pStyle w:val="LABBody"/>
        <w:spacing w:line="276" w:lineRule="auto"/>
        <w:rPr>
          <w:sz w:val="24"/>
          <w:szCs w:val="24"/>
        </w:rPr>
      </w:pPr>
      <w:r w:rsidRPr="00F876F2">
        <w:rPr>
          <w:sz w:val="24"/>
          <w:szCs w:val="24"/>
        </w:rPr>
        <w:t xml:space="preserve">The table below provides details of the reports assessed by the </w:t>
      </w:r>
      <w:r w:rsidR="00333F4D" w:rsidRPr="00F876F2">
        <w:rPr>
          <w:sz w:val="24"/>
          <w:szCs w:val="24"/>
        </w:rPr>
        <w:t>Board</w:t>
      </w:r>
      <w:r w:rsidRPr="00F876F2">
        <w:rPr>
          <w:sz w:val="24"/>
          <w:szCs w:val="24"/>
        </w:rPr>
        <w:t xml:space="preserve"> in 202</w:t>
      </w:r>
      <w:r w:rsidR="00333F4D" w:rsidRPr="00F876F2">
        <w:rPr>
          <w:sz w:val="24"/>
          <w:szCs w:val="24"/>
        </w:rPr>
        <w:t>4</w:t>
      </w:r>
      <w:r w:rsidRPr="00F876F2">
        <w:rPr>
          <w:sz w:val="24"/>
          <w:szCs w:val="24"/>
        </w:rPr>
        <w:t xml:space="preserve">.  </w:t>
      </w:r>
    </w:p>
    <w:p w14:paraId="2C7D4E10" w14:textId="77777777" w:rsidR="001F22C5" w:rsidRPr="007B2BDF" w:rsidRDefault="001F22C5" w:rsidP="001F22C5">
      <w:pPr>
        <w:rPr>
          <w:rFonts w:cs="Arial"/>
          <w:sz w:val="24"/>
          <w:szCs w:val="24"/>
        </w:rPr>
      </w:pPr>
      <w:r w:rsidRPr="007B2BDF">
        <w:rPr>
          <w:rFonts w:cs="Arial"/>
          <w:sz w:val="24"/>
          <w:szCs w:val="24"/>
        </w:rPr>
        <w:t xml:space="preserve">  </w:t>
      </w:r>
    </w:p>
    <w:tbl>
      <w:tblPr>
        <w:tblStyle w:val="TableGrid"/>
        <w:tblW w:w="0" w:type="auto"/>
        <w:tblLook w:val="04A0" w:firstRow="1" w:lastRow="0" w:firstColumn="1" w:lastColumn="0" w:noHBand="0" w:noVBand="1"/>
      </w:tblPr>
      <w:tblGrid>
        <w:gridCol w:w="8075"/>
        <w:gridCol w:w="1667"/>
      </w:tblGrid>
      <w:tr w:rsidR="00333F4D" w:rsidRPr="007B2BDF" w14:paraId="340A5708" w14:textId="0EEE2354" w:rsidTr="007B2BDF">
        <w:tc>
          <w:tcPr>
            <w:tcW w:w="8075" w:type="dxa"/>
            <w:shd w:val="clear" w:color="auto" w:fill="auto"/>
          </w:tcPr>
          <w:p w14:paraId="5E288FCE" w14:textId="77777777" w:rsidR="00333F4D" w:rsidRPr="007B2BDF" w:rsidRDefault="00333F4D" w:rsidP="007B2BDF">
            <w:pPr>
              <w:pStyle w:val="LABSection"/>
              <w:rPr>
                <w:color w:val="E36C0A" w:themeColor="accent6" w:themeShade="BF"/>
                <w:sz w:val="24"/>
                <w:szCs w:val="24"/>
                <w14:textOutline w14:w="9525" w14:cap="rnd" w14:cmpd="sng" w14:algn="ctr">
                  <w14:noFill/>
                  <w14:prstDash w14:val="solid"/>
                  <w14:bevel/>
                </w14:textOutline>
              </w:rPr>
            </w:pPr>
            <w:r w:rsidRPr="007B2BDF">
              <w:rPr>
                <w:color w:val="E36C0A" w:themeColor="accent6" w:themeShade="BF"/>
                <w:sz w:val="24"/>
                <w:szCs w:val="24"/>
                <w14:textOutline w14:w="9525" w14:cap="rnd" w14:cmpd="sng" w14:algn="ctr">
                  <w14:noFill/>
                  <w14:prstDash w14:val="solid"/>
                  <w14:bevel/>
                </w14:textOutline>
              </w:rPr>
              <w:t>Reports requiring assessment by the</w:t>
            </w:r>
            <w:r w:rsidR="007B2BDF" w:rsidRPr="007B2BDF">
              <w:rPr>
                <w:color w:val="E36C0A" w:themeColor="accent6" w:themeShade="BF"/>
                <w:sz w:val="24"/>
                <w:szCs w:val="24"/>
                <w14:textOutline w14:w="9525" w14:cap="rnd" w14:cmpd="sng" w14:algn="ctr">
                  <w14:noFill/>
                  <w14:prstDash w14:val="solid"/>
                  <w14:bevel/>
                </w14:textOutline>
              </w:rPr>
              <w:t xml:space="preserve"> Board</w:t>
            </w:r>
            <w:r w:rsidRPr="007B2BDF">
              <w:rPr>
                <w:color w:val="E36C0A" w:themeColor="accent6" w:themeShade="BF"/>
                <w:sz w:val="24"/>
                <w:szCs w:val="24"/>
                <w14:textOutline w14:w="9525" w14:cap="rnd" w14:cmpd="sng" w14:algn="ctr">
                  <w14:noFill/>
                  <w14:prstDash w14:val="solid"/>
                  <w14:bevel/>
                </w14:textOutline>
              </w:rPr>
              <w:t xml:space="preserve"> in 2024                                                               </w:t>
            </w:r>
          </w:p>
        </w:tc>
        <w:tc>
          <w:tcPr>
            <w:tcW w:w="1667" w:type="dxa"/>
            <w:shd w:val="clear" w:color="auto" w:fill="auto"/>
          </w:tcPr>
          <w:p w14:paraId="60CDFCDE" w14:textId="15A06EC4" w:rsidR="00333F4D" w:rsidRPr="007B2BDF" w:rsidRDefault="00333F4D" w:rsidP="007B2BDF">
            <w:pPr>
              <w:pStyle w:val="LABSection"/>
              <w:rPr>
                <w:color w:val="E36C0A" w:themeColor="accent6" w:themeShade="BF"/>
                <w:sz w:val="24"/>
                <w:szCs w:val="24"/>
                <w14:textOutline w14:w="9525" w14:cap="rnd" w14:cmpd="sng" w14:algn="ctr">
                  <w14:noFill/>
                  <w14:prstDash w14:val="solid"/>
                  <w14:bevel/>
                </w14:textOutline>
              </w:rPr>
            </w:pPr>
            <w:r w:rsidRPr="007B2BDF">
              <w:rPr>
                <w:color w:val="E36C0A" w:themeColor="accent6" w:themeShade="BF"/>
                <w:sz w:val="24"/>
                <w:szCs w:val="24"/>
                <w14:textOutline w14:w="9525" w14:cap="rnd" w14:cmpd="sng" w14:algn="ctr">
                  <w14:noFill/>
                  <w14:prstDash w14:val="solid"/>
                  <w14:bevel/>
                </w14:textOutline>
              </w:rPr>
              <w:t xml:space="preserve">No.  </w:t>
            </w:r>
          </w:p>
        </w:tc>
      </w:tr>
      <w:tr w:rsidR="00333F4D" w:rsidRPr="007B2BDF" w14:paraId="693350D9" w14:textId="596AC90F" w:rsidTr="007B2BDF">
        <w:tc>
          <w:tcPr>
            <w:tcW w:w="8075" w:type="dxa"/>
          </w:tcPr>
          <w:p w14:paraId="0BB9926F" w14:textId="1546C711" w:rsidR="00333F4D" w:rsidRPr="007B2BDF" w:rsidRDefault="007B2BDF" w:rsidP="007B2BDF">
            <w:pPr>
              <w:pStyle w:val="LABTablebody"/>
              <w:rPr>
                <w:b w:val="0"/>
                <w:bCs w:val="0"/>
                <w:sz w:val="24"/>
                <w:szCs w:val="24"/>
              </w:rPr>
            </w:pPr>
            <w:r w:rsidRPr="007B2BDF">
              <w:rPr>
                <w:b w:val="0"/>
                <w:bCs w:val="0"/>
                <w:sz w:val="24"/>
                <w:szCs w:val="24"/>
              </w:rPr>
              <w:t xml:space="preserve">Correspondence </w:t>
            </w:r>
            <w:r w:rsidR="00C97B13" w:rsidRPr="007B2BDF">
              <w:rPr>
                <w:b w:val="0"/>
                <w:bCs w:val="0"/>
                <w:sz w:val="24"/>
                <w:szCs w:val="24"/>
              </w:rPr>
              <w:t xml:space="preserve">transmitted </w:t>
            </w:r>
            <w:r w:rsidR="00F876F2" w:rsidRPr="007B2BDF">
              <w:rPr>
                <w:b w:val="0"/>
                <w:bCs w:val="0"/>
                <w:sz w:val="24"/>
                <w:szCs w:val="24"/>
              </w:rPr>
              <w:t xml:space="preserve">from </w:t>
            </w:r>
            <w:r w:rsidR="00243468" w:rsidRPr="007B2BDF">
              <w:rPr>
                <w:b w:val="0"/>
                <w:bCs w:val="0"/>
                <w:sz w:val="24"/>
                <w:szCs w:val="24"/>
              </w:rPr>
              <w:t xml:space="preserve">the </w:t>
            </w:r>
            <w:r w:rsidR="00BC5B0B" w:rsidRPr="007B2BDF">
              <w:rPr>
                <w:b w:val="0"/>
                <w:bCs w:val="0"/>
                <w:sz w:val="24"/>
                <w:szCs w:val="24"/>
              </w:rPr>
              <w:t xml:space="preserve">Office </w:t>
            </w:r>
            <w:proofErr w:type="gramStart"/>
            <w:r w:rsidR="00BC5B0B" w:rsidRPr="007B2BDF">
              <w:rPr>
                <w:b w:val="0"/>
                <w:bCs w:val="0"/>
                <w:sz w:val="24"/>
                <w:szCs w:val="24"/>
              </w:rPr>
              <w:t>of</w:t>
            </w:r>
            <w:r w:rsidR="00333F4D" w:rsidRPr="007B2BDF">
              <w:rPr>
                <w:b w:val="0"/>
                <w:bCs w:val="0"/>
                <w:sz w:val="24"/>
                <w:szCs w:val="24"/>
              </w:rPr>
              <w:t xml:space="preserve">  the</w:t>
            </w:r>
            <w:proofErr w:type="gramEnd"/>
            <w:r w:rsidR="00333F4D" w:rsidRPr="007B2BDF">
              <w:rPr>
                <w:b w:val="0"/>
                <w:bCs w:val="0"/>
                <w:sz w:val="24"/>
                <w:szCs w:val="24"/>
              </w:rPr>
              <w:t xml:space="preserve">  Protected  Disclosures Commissioner to the </w:t>
            </w:r>
            <w:r w:rsidRPr="007B2BDF">
              <w:rPr>
                <w:b w:val="0"/>
                <w:bCs w:val="0"/>
                <w:sz w:val="24"/>
                <w:szCs w:val="24"/>
              </w:rPr>
              <w:t>Board</w:t>
            </w:r>
            <w:r w:rsidR="00333F4D" w:rsidRPr="007B2BDF">
              <w:rPr>
                <w:b w:val="0"/>
                <w:bCs w:val="0"/>
                <w:sz w:val="24"/>
                <w:szCs w:val="24"/>
              </w:rPr>
              <w:t xml:space="preserve"> for assessme</w:t>
            </w:r>
            <w:r w:rsidRPr="007B2BDF">
              <w:rPr>
                <w:b w:val="0"/>
                <w:bCs w:val="0"/>
                <w:sz w:val="24"/>
                <w:szCs w:val="24"/>
              </w:rPr>
              <w:t>nt</w:t>
            </w:r>
          </w:p>
        </w:tc>
        <w:tc>
          <w:tcPr>
            <w:tcW w:w="1667" w:type="dxa"/>
          </w:tcPr>
          <w:p w14:paraId="70B01A50" w14:textId="09C63CDF" w:rsidR="00333F4D" w:rsidRPr="007B2BDF" w:rsidRDefault="007B2BDF" w:rsidP="007B2BDF">
            <w:pPr>
              <w:pStyle w:val="LABTablebody"/>
              <w:rPr>
                <w:b w:val="0"/>
                <w:bCs w:val="0"/>
                <w:sz w:val="24"/>
                <w:szCs w:val="24"/>
              </w:rPr>
            </w:pPr>
            <w:r w:rsidRPr="007B2BDF">
              <w:rPr>
                <w:b w:val="0"/>
                <w:bCs w:val="0"/>
                <w:sz w:val="24"/>
                <w:szCs w:val="24"/>
              </w:rPr>
              <w:t>1</w:t>
            </w:r>
          </w:p>
        </w:tc>
      </w:tr>
      <w:tr w:rsidR="00333F4D" w:rsidRPr="007B2BDF" w14:paraId="67F898AE" w14:textId="2EEE7569" w:rsidTr="007B2BDF">
        <w:tc>
          <w:tcPr>
            <w:tcW w:w="8075" w:type="dxa"/>
          </w:tcPr>
          <w:p w14:paraId="70B196F1" w14:textId="7888D3E9" w:rsidR="00333F4D" w:rsidRPr="007B2BDF" w:rsidRDefault="00333F4D" w:rsidP="007B2BDF">
            <w:pPr>
              <w:pStyle w:val="LABTablebody"/>
              <w:rPr>
                <w:b w:val="0"/>
                <w:bCs w:val="0"/>
                <w:sz w:val="24"/>
                <w:szCs w:val="24"/>
              </w:rPr>
            </w:pPr>
            <w:r w:rsidRPr="007B2BDF">
              <w:rPr>
                <w:b w:val="0"/>
                <w:bCs w:val="0"/>
                <w:sz w:val="24"/>
                <w:szCs w:val="24"/>
              </w:rPr>
              <w:t xml:space="preserve">Correspondence addressed to the </w:t>
            </w:r>
            <w:r w:rsidR="007B2BDF" w:rsidRPr="007B2BDF">
              <w:rPr>
                <w:b w:val="0"/>
                <w:bCs w:val="0"/>
                <w:sz w:val="24"/>
                <w:szCs w:val="24"/>
              </w:rPr>
              <w:t>Board’s</w:t>
            </w:r>
            <w:r w:rsidRPr="007B2BDF">
              <w:rPr>
                <w:b w:val="0"/>
                <w:bCs w:val="0"/>
                <w:sz w:val="24"/>
                <w:szCs w:val="24"/>
              </w:rPr>
              <w:t xml:space="preserve"> internal reporting channel for assessment                                             </w:t>
            </w:r>
          </w:p>
        </w:tc>
        <w:tc>
          <w:tcPr>
            <w:tcW w:w="1667" w:type="dxa"/>
          </w:tcPr>
          <w:p w14:paraId="0D1B0AD9" w14:textId="1519F07C" w:rsidR="00333F4D" w:rsidRPr="007B2BDF" w:rsidRDefault="007B2BDF" w:rsidP="007B2BDF">
            <w:pPr>
              <w:pStyle w:val="LABTablebody"/>
              <w:rPr>
                <w:b w:val="0"/>
                <w:bCs w:val="0"/>
                <w:sz w:val="24"/>
                <w:szCs w:val="24"/>
              </w:rPr>
            </w:pPr>
            <w:r w:rsidRPr="007B2BDF">
              <w:rPr>
                <w:b w:val="0"/>
                <w:bCs w:val="0"/>
                <w:sz w:val="24"/>
                <w:szCs w:val="24"/>
              </w:rPr>
              <w:t>4</w:t>
            </w:r>
          </w:p>
        </w:tc>
      </w:tr>
      <w:tr w:rsidR="00333F4D" w:rsidRPr="007B2BDF" w14:paraId="53C21EA2" w14:textId="617BE82B" w:rsidTr="007B2BDF">
        <w:tc>
          <w:tcPr>
            <w:tcW w:w="8075" w:type="dxa"/>
          </w:tcPr>
          <w:p w14:paraId="4706323D" w14:textId="4613CEE7" w:rsidR="00333F4D" w:rsidRPr="007B2BDF" w:rsidRDefault="00333F4D" w:rsidP="007B2BDF">
            <w:pPr>
              <w:pStyle w:val="LABTablebody"/>
              <w:rPr>
                <w:b w:val="0"/>
                <w:bCs w:val="0"/>
                <w:sz w:val="24"/>
                <w:szCs w:val="24"/>
              </w:rPr>
            </w:pPr>
            <w:r w:rsidRPr="007B2BDF">
              <w:rPr>
                <w:b w:val="0"/>
                <w:bCs w:val="0"/>
                <w:sz w:val="24"/>
                <w:szCs w:val="24"/>
              </w:rPr>
              <w:t>Total correspondence for assessment in 202</w:t>
            </w:r>
            <w:r w:rsidR="00072A24">
              <w:rPr>
                <w:b w:val="0"/>
                <w:bCs w:val="0"/>
                <w:sz w:val="24"/>
                <w:szCs w:val="24"/>
              </w:rPr>
              <w:t>4</w:t>
            </w:r>
            <w:r w:rsidRPr="007B2BDF">
              <w:rPr>
                <w:b w:val="0"/>
                <w:bCs w:val="0"/>
                <w:sz w:val="24"/>
                <w:szCs w:val="24"/>
              </w:rPr>
              <w:t xml:space="preserve">                                                                         </w:t>
            </w:r>
          </w:p>
        </w:tc>
        <w:tc>
          <w:tcPr>
            <w:tcW w:w="1667" w:type="dxa"/>
          </w:tcPr>
          <w:p w14:paraId="6986A272" w14:textId="7FB2CF43" w:rsidR="00333F4D" w:rsidRPr="007B2BDF" w:rsidRDefault="007B2BDF" w:rsidP="007B2BDF">
            <w:pPr>
              <w:pStyle w:val="LABTablebody"/>
              <w:rPr>
                <w:b w:val="0"/>
                <w:bCs w:val="0"/>
                <w:sz w:val="24"/>
                <w:szCs w:val="24"/>
              </w:rPr>
            </w:pPr>
            <w:r w:rsidRPr="007B2BDF">
              <w:rPr>
                <w:b w:val="0"/>
                <w:bCs w:val="0"/>
                <w:sz w:val="24"/>
                <w:szCs w:val="24"/>
              </w:rPr>
              <w:t>5</w:t>
            </w:r>
          </w:p>
        </w:tc>
      </w:tr>
      <w:tr w:rsidR="007B2BDF" w:rsidRPr="007B2BDF" w14:paraId="706C408A" w14:textId="6D12CDAC" w:rsidTr="00861634">
        <w:tc>
          <w:tcPr>
            <w:tcW w:w="9742" w:type="dxa"/>
            <w:gridSpan w:val="2"/>
          </w:tcPr>
          <w:p w14:paraId="05692CA9" w14:textId="2BE7CC0E" w:rsidR="007B2BDF" w:rsidRPr="007B2BDF" w:rsidRDefault="007B2BDF" w:rsidP="007B2BDF">
            <w:pPr>
              <w:pStyle w:val="LABTablebody"/>
              <w:rPr>
                <w:b w:val="0"/>
                <w:bCs w:val="0"/>
                <w:sz w:val="24"/>
                <w:szCs w:val="24"/>
              </w:rPr>
            </w:pPr>
            <w:r w:rsidRPr="007B2BDF">
              <w:rPr>
                <w:color w:val="E36C0A" w:themeColor="accent6" w:themeShade="BF"/>
                <w:sz w:val="24"/>
                <w:szCs w:val="24"/>
                <w14:textOutline w14:w="9525" w14:cap="rnd" w14:cmpd="sng" w14:algn="ctr">
                  <w14:noFill/>
                  <w14:prstDash w14:val="solid"/>
                  <w14:bevel/>
                </w14:textOutline>
              </w:rPr>
              <w:t xml:space="preserve">Outcome of </w:t>
            </w:r>
            <w:r w:rsidR="00072A24">
              <w:rPr>
                <w:color w:val="E36C0A" w:themeColor="accent6" w:themeShade="BF"/>
                <w:sz w:val="24"/>
                <w:szCs w:val="24"/>
                <w14:textOutline w14:w="9525" w14:cap="rnd" w14:cmpd="sng" w14:algn="ctr">
                  <w14:noFill/>
                  <w14:prstDash w14:val="solid"/>
                  <w14:bevel/>
                </w14:textOutline>
              </w:rPr>
              <w:t>5</w:t>
            </w:r>
            <w:r w:rsidRPr="007B2BDF">
              <w:rPr>
                <w:color w:val="E36C0A" w:themeColor="accent6" w:themeShade="BF"/>
                <w:sz w:val="24"/>
                <w:szCs w:val="24"/>
                <w14:textOutline w14:w="9525" w14:cap="rnd" w14:cmpd="sng" w14:algn="ctr">
                  <w14:noFill/>
                  <w14:prstDash w14:val="solid"/>
                  <w14:bevel/>
                </w14:textOutline>
              </w:rPr>
              <w:t xml:space="preserve"> assessments conducted by the Board in 2024</w:t>
            </w:r>
          </w:p>
        </w:tc>
      </w:tr>
      <w:tr w:rsidR="00333F4D" w:rsidRPr="007B2BDF" w14:paraId="376D86D4" w14:textId="119BD06E" w:rsidTr="007B2BDF">
        <w:tc>
          <w:tcPr>
            <w:tcW w:w="8075" w:type="dxa"/>
          </w:tcPr>
          <w:p w14:paraId="538F3192" w14:textId="23239D7F" w:rsidR="00333F4D" w:rsidRPr="007B2BDF" w:rsidRDefault="007B2BDF" w:rsidP="007B2BDF">
            <w:pPr>
              <w:pStyle w:val="LABBullets"/>
              <w:rPr>
                <w:sz w:val="24"/>
                <w:szCs w:val="24"/>
              </w:rPr>
            </w:pPr>
            <w:r w:rsidRPr="007B2BDF">
              <w:rPr>
                <w:sz w:val="24"/>
                <w:szCs w:val="24"/>
              </w:rPr>
              <w:t>Awaiting completion at year end</w:t>
            </w:r>
          </w:p>
        </w:tc>
        <w:tc>
          <w:tcPr>
            <w:tcW w:w="1667" w:type="dxa"/>
          </w:tcPr>
          <w:p w14:paraId="2197BDDE" w14:textId="752B5705" w:rsidR="00333F4D" w:rsidRPr="007B2BDF" w:rsidRDefault="00072A24" w:rsidP="007B2BDF">
            <w:pPr>
              <w:pStyle w:val="LABTablebody"/>
              <w:rPr>
                <w:b w:val="0"/>
                <w:bCs w:val="0"/>
                <w:sz w:val="24"/>
                <w:szCs w:val="24"/>
              </w:rPr>
            </w:pPr>
            <w:r>
              <w:rPr>
                <w:b w:val="0"/>
                <w:bCs w:val="0"/>
                <w:sz w:val="24"/>
                <w:szCs w:val="24"/>
              </w:rPr>
              <w:t>1</w:t>
            </w:r>
          </w:p>
        </w:tc>
      </w:tr>
      <w:tr w:rsidR="00333F4D" w:rsidRPr="007B2BDF" w14:paraId="2E415527" w14:textId="052AF2A9" w:rsidTr="007B2BDF">
        <w:tc>
          <w:tcPr>
            <w:tcW w:w="8075" w:type="dxa"/>
          </w:tcPr>
          <w:p w14:paraId="122B9D61" w14:textId="0D7394C0" w:rsidR="00333F4D" w:rsidRPr="007B2BDF" w:rsidRDefault="007B2BDF" w:rsidP="007B2BDF">
            <w:pPr>
              <w:pStyle w:val="LABBullets"/>
              <w:rPr>
                <w:sz w:val="24"/>
                <w:szCs w:val="24"/>
              </w:rPr>
            </w:pPr>
            <w:r w:rsidRPr="007B2BDF">
              <w:rPr>
                <w:sz w:val="24"/>
                <w:szCs w:val="24"/>
              </w:rPr>
              <w:t>Closed with no further action taken</w:t>
            </w:r>
          </w:p>
        </w:tc>
        <w:tc>
          <w:tcPr>
            <w:tcW w:w="1667" w:type="dxa"/>
          </w:tcPr>
          <w:p w14:paraId="5BABF6F0" w14:textId="27C08844" w:rsidR="00333F4D" w:rsidRPr="007B2BDF" w:rsidRDefault="007B2BDF" w:rsidP="007B2BDF">
            <w:pPr>
              <w:pStyle w:val="LABTablebody"/>
              <w:rPr>
                <w:b w:val="0"/>
                <w:bCs w:val="0"/>
                <w:sz w:val="24"/>
                <w:szCs w:val="24"/>
              </w:rPr>
            </w:pPr>
            <w:r w:rsidRPr="007B2BDF">
              <w:rPr>
                <w:b w:val="0"/>
                <w:bCs w:val="0"/>
                <w:sz w:val="24"/>
                <w:szCs w:val="24"/>
              </w:rPr>
              <w:t>2</w:t>
            </w:r>
          </w:p>
        </w:tc>
      </w:tr>
    </w:tbl>
    <w:p w14:paraId="0B6F68FD" w14:textId="0E38695A" w:rsidR="001F22C5" w:rsidRPr="007B2BDF" w:rsidRDefault="001F22C5" w:rsidP="001F22C5">
      <w:pPr>
        <w:rPr>
          <w:rFonts w:cs="Arial"/>
          <w:sz w:val="24"/>
          <w:szCs w:val="24"/>
        </w:rPr>
      </w:pPr>
      <w:r w:rsidRPr="007B2BDF">
        <w:rPr>
          <w:rFonts w:cs="Arial"/>
          <w:sz w:val="24"/>
          <w:szCs w:val="24"/>
        </w:rPr>
        <w:t xml:space="preserve">              </w:t>
      </w:r>
    </w:p>
    <w:p w14:paraId="0CCBA762" w14:textId="7F4D9857" w:rsidR="001F22C5" w:rsidRPr="007B2BDF" w:rsidRDefault="001F22C5" w:rsidP="001F22C5">
      <w:pPr>
        <w:rPr>
          <w:rFonts w:cs="Arial"/>
          <w:sz w:val="24"/>
          <w:szCs w:val="24"/>
        </w:rPr>
      </w:pPr>
    </w:p>
    <w:p w14:paraId="5521C36D" w14:textId="77777777" w:rsidR="001F22C5" w:rsidRPr="007B2BDF" w:rsidRDefault="001F22C5" w:rsidP="007B2BDF">
      <w:pPr>
        <w:rPr>
          <w:rFonts w:cs="Arial"/>
          <w:sz w:val="24"/>
          <w:szCs w:val="24"/>
        </w:rPr>
      </w:pPr>
      <w:r w:rsidRPr="007B2BDF">
        <w:rPr>
          <w:rFonts w:cs="Arial"/>
          <w:sz w:val="24"/>
          <w:szCs w:val="24"/>
        </w:rPr>
        <w:t xml:space="preserve">  </w:t>
      </w:r>
    </w:p>
    <w:p w14:paraId="487FCA6B" w14:textId="513B7BE6" w:rsidR="001F22C5" w:rsidRDefault="001F22C5" w:rsidP="001F22C5"/>
    <w:p w14:paraId="0B531487" w14:textId="77777777" w:rsidR="008A74F5" w:rsidRPr="00310169" w:rsidRDefault="008A74F5" w:rsidP="008A74F5">
      <w:pPr>
        <w:autoSpaceDE w:val="0"/>
        <w:autoSpaceDN w:val="0"/>
        <w:adjustRightInd w:val="0"/>
        <w:spacing w:line="240" w:lineRule="atLeast"/>
        <w:rPr>
          <w:rFonts w:cs="Arial"/>
          <w:b/>
          <w:bCs/>
          <w:color w:val="000000"/>
          <w:sz w:val="24"/>
          <w:szCs w:val="24"/>
          <w:u w:val="single"/>
        </w:rPr>
      </w:pPr>
    </w:p>
    <w:sectPr w:rsidR="008A74F5" w:rsidRPr="00310169" w:rsidSect="007B2BDF">
      <w:headerReference w:type="default" r:id="rId11"/>
      <w:footerReference w:type="default" r:id="rId12"/>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C568" w14:textId="77777777" w:rsidR="000375F5" w:rsidRDefault="000375F5" w:rsidP="00E02E41">
      <w:r>
        <w:separator/>
      </w:r>
    </w:p>
  </w:endnote>
  <w:endnote w:type="continuationSeparator" w:id="0">
    <w:p w14:paraId="62632D4E" w14:textId="77777777" w:rsidR="000375F5" w:rsidRDefault="000375F5"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F14B" w14:textId="68C71F1F" w:rsidR="007B2BDF" w:rsidRDefault="007B2BDF" w:rsidP="00D35AF9">
    <w:pPr>
      <w:pStyle w:val="Footer"/>
      <w:jc w:val="right"/>
    </w:pPr>
    <w:r>
      <w:rPr>
        <w:noProof/>
      </w:rPr>
      <w:drawing>
        <wp:inline distT="0" distB="0" distL="0" distR="0" wp14:anchorId="3A01D894" wp14:editId="5BA09CC3">
          <wp:extent cx="1437707"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444694" cy="4785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06562" w14:textId="77777777" w:rsidR="000375F5" w:rsidRDefault="000375F5" w:rsidP="00E02E41">
      <w:r>
        <w:separator/>
      </w:r>
    </w:p>
  </w:footnote>
  <w:footnote w:type="continuationSeparator" w:id="0">
    <w:p w14:paraId="27559151" w14:textId="77777777" w:rsidR="000375F5" w:rsidRDefault="000375F5"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18D1" w14:textId="77777777" w:rsidR="007B2BDF" w:rsidRPr="007B2BDF" w:rsidRDefault="007B2BDF" w:rsidP="007B2BDF">
    <w:pPr>
      <w:pStyle w:val="LABSection"/>
      <w:rPr>
        <w:color w:val="005C78"/>
        <w:sz w:val="20"/>
        <w:szCs w:val="20"/>
        <w14:textOutline w14:w="9525" w14:cap="rnd" w14:cmpd="sng" w14:algn="ctr">
          <w14:noFill/>
          <w14:prstDash w14:val="solid"/>
          <w14:bevel/>
        </w14:textOutline>
      </w:rPr>
    </w:pPr>
    <w:r w:rsidRPr="007B2BDF">
      <w:rPr>
        <w:color w:val="005C78"/>
        <w:sz w:val="20"/>
        <w:szCs w:val="20"/>
        <w14:textOutline w14:w="9525" w14:cap="rnd" w14:cmpd="sng" w14:algn="ctr">
          <w14:noFill/>
          <w14:prstDash w14:val="solid"/>
          <w14:bevel/>
        </w14:textOutline>
      </w:rPr>
      <w:t xml:space="preserve">Protected Disclosures Annual Report </w:t>
    </w:r>
  </w:p>
  <w:p w14:paraId="1F4FDC8E" w14:textId="62E17A99" w:rsidR="007B2BDF" w:rsidRPr="007B2BDF" w:rsidRDefault="007B2BDF" w:rsidP="007B2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FD6"/>
    <w:multiLevelType w:val="hybridMultilevel"/>
    <w:tmpl w:val="F724C9FA"/>
    <w:lvl w:ilvl="0" w:tplc="1809000F">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04936"/>
    <w:multiLevelType w:val="hybridMultilevel"/>
    <w:tmpl w:val="41B674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B020B30"/>
    <w:multiLevelType w:val="hybridMultilevel"/>
    <w:tmpl w:val="3A58B5C8"/>
    <w:lvl w:ilvl="0" w:tplc="9256767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07E54"/>
    <w:multiLevelType w:val="hybridMultilevel"/>
    <w:tmpl w:val="84787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A311BD"/>
    <w:multiLevelType w:val="hybridMultilevel"/>
    <w:tmpl w:val="25707CD6"/>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2D0637"/>
    <w:multiLevelType w:val="hybridMultilevel"/>
    <w:tmpl w:val="16CCEE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0E31E3"/>
    <w:multiLevelType w:val="hybridMultilevel"/>
    <w:tmpl w:val="302C7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CC0915"/>
    <w:multiLevelType w:val="hybridMultilevel"/>
    <w:tmpl w:val="33908AA2"/>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D582BFF"/>
    <w:multiLevelType w:val="hybridMultilevel"/>
    <w:tmpl w:val="FF5C0FE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1" w15:restartNumberingAfterBreak="0">
    <w:nsid w:val="3E7D7893"/>
    <w:multiLevelType w:val="hybridMultilevel"/>
    <w:tmpl w:val="7CC63BEE"/>
    <w:lvl w:ilvl="0" w:tplc="9E14E4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5E6802"/>
    <w:multiLevelType w:val="hybridMultilevel"/>
    <w:tmpl w:val="0D2E0242"/>
    <w:lvl w:ilvl="0" w:tplc="9256767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B3034D4"/>
    <w:multiLevelType w:val="hybridMultilevel"/>
    <w:tmpl w:val="B5DAEF1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8F1997"/>
    <w:multiLevelType w:val="hybridMultilevel"/>
    <w:tmpl w:val="E40A0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CA5543"/>
    <w:multiLevelType w:val="hybridMultilevel"/>
    <w:tmpl w:val="45A65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26229"/>
    <w:multiLevelType w:val="hybridMultilevel"/>
    <w:tmpl w:val="40FEB85C"/>
    <w:lvl w:ilvl="0" w:tplc="8676E6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C755E0"/>
    <w:multiLevelType w:val="hybridMultilevel"/>
    <w:tmpl w:val="730C2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8869FA"/>
    <w:multiLevelType w:val="hybridMultilevel"/>
    <w:tmpl w:val="DC9272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2D68C9"/>
    <w:multiLevelType w:val="hybridMultilevel"/>
    <w:tmpl w:val="B2B8CA24"/>
    <w:lvl w:ilvl="0" w:tplc="EEE2F548">
      <w:start w:val="1"/>
      <w:numFmt w:val="decimal"/>
      <w:lvlText w:val="%1."/>
      <w:lvlJc w:val="left"/>
      <w:pPr>
        <w:tabs>
          <w:tab w:val="num" w:pos="720"/>
        </w:tabs>
        <w:ind w:left="720" w:hanging="360"/>
      </w:pPr>
      <w:rPr>
        <w:b/>
      </w:rPr>
    </w:lvl>
    <w:lvl w:ilvl="1" w:tplc="5478EAA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A450C6"/>
    <w:multiLevelType w:val="hybridMultilevel"/>
    <w:tmpl w:val="1BC84C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9B0883"/>
    <w:multiLevelType w:val="hybridMultilevel"/>
    <w:tmpl w:val="7FF2C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9459673">
    <w:abstractNumId w:val="22"/>
  </w:num>
  <w:num w:numId="2" w16cid:durableId="1074670076">
    <w:abstractNumId w:val="10"/>
  </w:num>
  <w:num w:numId="3" w16cid:durableId="465508668">
    <w:abstractNumId w:val="28"/>
  </w:num>
  <w:num w:numId="4" w16cid:durableId="883373048">
    <w:abstractNumId w:val="13"/>
  </w:num>
  <w:num w:numId="5" w16cid:durableId="564074642">
    <w:abstractNumId w:val="25"/>
  </w:num>
  <w:num w:numId="6" w16cid:durableId="2060322498">
    <w:abstractNumId w:val="19"/>
  </w:num>
  <w:num w:numId="7" w16cid:durableId="254485641">
    <w:abstractNumId w:val="26"/>
  </w:num>
  <w:num w:numId="8" w16cid:durableId="348144781">
    <w:abstractNumId w:val="8"/>
  </w:num>
  <w:num w:numId="9" w16cid:durableId="1797749804">
    <w:abstractNumId w:val="11"/>
  </w:num>
  <w:num w:numId="10" w16cid:durableId="511186716">
    <w:abstractNumId w:val="30"/>
  </w:num>
  <w:num w:numId="11" w16cid:durableId="668213444">
    <w:abstractNumId w:val="4"/>
  </w:num>
  <w:num w:numId="12" w16cid:durableId="1277297600">
    <w:abstractNumId w:val="17"/>
  </w:num>
  <w:num w:numId="13" w16cid:durableId="1803185281">
    <w:abstractNumId w:val="6"/>
  </w:num>
  <w:num w:numId="14" w16cid:durableId="1199195194">
    <w:abstractNumId w:val="7"/>
  </w:num>
  <w:num w:numId="15" w16cid:durableId="1469012304">
    <w:abstractNumId w:val="31"/>
  </w:num>
  <w:num w:numId="16" w16cid:durableId="113058080">
    <w:abstractNumId w:val="1"/>
  </w:num>
  <w:num w:numId="17" w16cid:durableId="674649298">
    <w:abstractNumId w:val="5"/>
  </w:num>
  <w:num w:numId="18" w16cid:durableId="1042679600">
    <w:abstractNumId w:val="36"/>
  </w:num>
  <w:num w:numId="19" w16cid:durableId="558899363">
    <w:abstractNumId w:val="37"/>
  </w:num>
  <w:num w:numId="20" w16cid:durableId="696194226">
    <w:abstractNumId w:val="14"/>
  </w:num>
  <w:num w:numId="21" w16cid:durableId="2086415282">
    <w:abstractNumId w:val="0"/>
  </w:num>
  <w:num w:numId="22" w16cid:durableId="1655062144">
    <w:abstractNumId w:val="12"/>
  </w:num>
  <w:num w:numId="23" w16cid:durableId="2042583313">
    <w:abstractNumId w:val="21"/>
  </w:num>
  <w:num w:numId="24" w16cid:durableId="1258975841">
    <w:abstractNumId w:val="2"/>
  </w:num>
  <w:num w:numId="25" w16cid:durableId="471604910">
    <w:abstractNumId w:val="15"/>
  </w:num>
  <w:num w:numId="26" w16cid:durableId="837113372">
    <w:abstractNumId w:val="16"/>
  </w:num>
  <w:num w:numId="27" w16cid:durableId="228879759">
    <w:abstractNumId w:val="29"/>
  </w:num>
  <w:num w:numId="28" w16cid:durableId="566763429">
    <w:abstractNumId w:val="9"/>
  </w:num>
  <w:num w:numId="29" w16cid:durableId="1047795886">
    <w:abstractNumId w:val="38"/>
  </w:num>
  <w:num w:numId="30" w16cid:durableId="1231690258">
    <w:abstractNumId w:val="27"/>
  </w:num>
  <w:num w:numId="31" w16cid:durableId="1603565579">
    <w:abstractNumId w:val="33"/>
  </w:num>
  <w:num w:numId="32" w16cid:durableId="600189747">
    <w:abstractNumId w:val="34"/>
  </w:num>
  <w:num w:numId="33" w16cid:durableId="634213802">
    <w:abstractNumId w:val="24"/>
  </w:num>
  <w:num w:numId="34" w16cid:durableId="1544825550">
    <w:abstractNumId w:val="18"/>
  </w:num>
  <w:num w:numId="35" w16cid:durableId="21369132">
    <w:abstractNumId w:val="35"/>
  </w:num>
  <w:num w:numId="36" w16cid:durableId="510147103">
    <w:abstractNumId w:val="20"/>
  </w:num>
  <w:num w:numId="37" w16cid:durableId="1928923637">
    <w:abstractNumId w:val="32"/>
  </w:num>
  <w:num w:numId="38" w16cid:durableId="829101827">
    <w:abstractNumId w:val="3"/>
  </w:num>
  <w:num w:numId="39" w16cid:durableId="18326039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q61UklWszOnHsW+QrmaeevYEEc+RzL7YYiIPhhf5ceSRn9/V8clumITtNFINcGJmTULLFnT7xnxZK/fgdvUjg==" w:salt="hhssD79Qq4WP61SgJkAI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0674F"/>
    <w:rsid w:val="00015821"/>
    <w:rsid w:val="000375F5"/>
    <w:rsid w:val="000449AD"/>
    <w:rsid w:val="00067F2A"/>
    <w:rsid w:val="00072A24"/>
    <w:rsid w:val="000844E7"/>
    <w:rsid w:val="000971C5"/>
    <w:rsid w:val="000A07B4"/>
    <w:rsid w:val="000B4BC2"/>
    <w:rsid w:val="000D0451"/>
    <w:rsid w:val="000D64B6"/>
    <w:rsid w:val="000E25C9"/>
    <w:rsid w:val="00111412"/>
    <w:rsid w:val="00126E6B"/>
    <w:rsid w:val="00133BA3"/>
    <w:rsid w:val="001558D2"/>
    <w:rsid w:val="00161A12"/>
    <w:rsid w:val="001E172B"/>
    <w:rsid w:val="001E5F64"/>
    <w:rsid w:val="001F22C5"/>
    <w:rsid w:val="001F5626"/>
    <w:rsid w:val="001F76A1"/>
    <w:rsid w:val="00201F41"/>
    <w:rsid w:val="0021410F"/>
    <w:rsid w:val="00232DFB"/>
    <w:rsid w:val="00236D7F"/>
    <w:rsid w:val="00243468"/>
    <w:rsid w:val="00247BA1"/>
    <w:rsid w:val="00271784"/>
    <w:rsid w:val="00281C1D"/>
    <w:rsid w:val="00284284"/>
    <w:rsid w:val="00284565"/>
    <w:rsid w:val="002B3796"/>
    <w:rsid w:val="002B43A5"/>
    <w:rsid w:val="002C05F9"/>
    <w:rsid w:val="002C0B2B"/>
    <w:rsid w:val="002E250E"/>
    <w:rsid w:val="00331E91"/>
    <w:rsid w:val="00333F4D"/>
    <w:rsid w:val="00354669"/>
    <w:rsid w:val="00365F32"/>
    <w:rsid w:val="00372EA7"/>
    <w:rsid w:val="003735E9"/>
    <w:rsid w:val="00374DB9"/>
    <w:rsid w:val="00380F79"/>
    <w:rsid w:val="003A064E"/>
    <w:rsid w:val="003A43E0"/>
    <w:rsid w:val="003A5067"/>
    <w:rsid w:val="003B20A8"/>
    <w:rsid w:val="003B2298"/>
    <w:rsid w:val="003E32C4"/>
    <w:rsid w:val="003E4367"/>
    <w:rsid w:val="003F2E0F"/>
    <w:rsid w:val="00420A5A"/>
    <w:rsid w:val="0042338B"/>
    <w:rsid w:val="00427AD5"/>
    <w:rsid w:val="00430A6C"/>
    <w:rsid w:val="004765BC"/>
    <w:rsid w:val="00481B2D"/>
    <w:rsid w:val="00484F9E"/>
    <w:rsid w:val="004B4EBB"/>
    <w:rsid w:val="0050557F"/>
    <w:rsid w:val="00526C46"/>
    <w:rsid w:val="005323E2"/>
    <w:rsid w:val="00541C6B"/>
    <w:rsid w:val="00566BEE"/>
    <w:rsid w:val="005744DA"/>
    <w:rsid w:val="0058590E"/>
    <w:rsid w:val="005A3EE1"/>
    <w:rsid w:val="005D7801"/>
    <w:rsid w:val="005E111D"/>
    <w:rsid w:val="005E7D0C"/>
    <w:rsid w:val="005F2300"/>
    <w:rsid w:val="005F37BD"/>
    <w:rsid w:val="005F4DDF"/>
    <w:rsid w:val="005F56A4"/>
    <w:rsid w:val="005F5827"/>
    <w:rsid w:val="005F6751"/>
    <w:rsid w:val="00603EF0"/>
    <w:rsid w:val="00613EE7"/>
    <w:rsid w:val="00613FA3"/>
    <w:rsid w:val="00616943"/>
    <w:rsid w:val="0063250E"/>
    <w:rsid w:val="00645F5A"/>
    <w:rsid w:val="00646547"/>
    <w:rsid w:val="006475D4"/>
    <w:rsid w:val="00671CF9"/>
    <w:rsid w:val="00676373"/>
    <w:rsid w:val="00694135"/>
    <w:rsid w:val="006960B5"/>
    <w:rsid w:val="006961F4"/>
    <w:rsid w:val="006964E6"/>
    <w:rsid w:val="00697594"/>
    <w:rsid w:val="006B37F9"/>
    <w:rsid w:val="006B3B11"/>
    <w:rsid w:val="006C02A7"/>
    <w:rsid w:val="006C2689"/>
    <w:rsid w:val="006D25DA"/>
    <w:rsid w:val="006F5F9A"/>
    <w:rsid w:val="00702634"/>
    <w:rsid w:val="007134C2"/>
    <w:rsid w:val="007511AF"/>
    <w:rsid w:val="00763B44"/>
    <w:rsid w:val="00790C44"/>
    <w:rsid w:val="00796EFB"/>
    <w:rsid w:val="007B2BDF"/>
    <w:rsid w:val="007C1744"/>
    <w:rsid w:val="007C355C"/>
    <w:rsid w:val="007C3BBC"/>
    <w:rsid w:val="007E55F0"/>
    <w:rsid w:val="00801304"/>
    <w:rsid w:val="00803752"/>
    <w:rsid w:val="00811C98"/>
    <w:rsid w:val="00840B8B"/>
    <w:rsid w:val="008607E8"/>
    <w:rsid w:val="008A23DF"/>
    <w:rsid w:val="008A74F5"/>
    <w:rsid w:val="008A7C66"/>
    <w:rsid w:val="008D16F9"/>
    <w:rsid w:val="008E0C22"/>
    <w:rsid w:val="008E2CFC"/>
    <w:rsid w:val="008F13D1"/>
    <w:rsid w:val="00913F70"/>
    <w:rsid w:val="00914416"/>
    <w:rsid w:val="00936D3F"/>
    <w:rsid w:val="00942CFE"/>
    <w:rsid w:val="0094781E"/>
    <w:rsid w:val="00982984"/>
    <w:rsid w:val="00985433"/>
    <w:rsid w:val="00986BB2"/>
    <w:rsid w:val="00987974"/>
    <w:rsid w:val="009A0EFE"/>
    <w:rsid w:val="009A286B"/>
    <w:rsid w:val="009B4DD3"/>
    <w:rsid w:val="009D49EE"/>
    <w:rsid w:val="00A112EF"/>
    <w:rsid w:val="00A33D6D"/>
    <w:rsid w:val="00A36106"/>
    <w:rsid w:val="00A41873"/>
    <w:rsid w:val="00A45DC7"/>
    <w:rsid w:val="00A65D19"/>
    <w:rsid w:val="00A86B8F"/>
    <w:rsid w:val="00AA13F5"/>
    <w:rsid w:val="00AB1845"/>
    <w:rsid w:val="00AC056C"/>
    <w:rsid w:val="00AC4801"/>
    <w:rsid w:val="00B134F1"/>
    <w:rsid w:val="00B1406B"/>
    <w:rsid w:val="00B325CF"/>
    <w:rsid w:val="00B34272"/>
    <w:rsid w:val="00B459F0"/>
    <w:rsid w:val="00B46175"/>
    <w:rsid w:val="00B62E83"/>
    <w:rsid w:val="00B7159F"/>
    <w:rsid w:val="00B753D6"/>
    <w:rsid w:val="00B761C1"/>
    <w:rsid w:val="00BA349D"/>
    <w:rsid w:val="00BA4535"/>
    <w:rsid w:val="00BB38D8"/>
    <w:rsid w:val="00BC5B0B"/>
    <w:rsid w:val="00BC5FFA"/>
    <w:rsid w:val="00BD4878"/>
    <w:rsid w:val="00BD55CC"/>
    <w:rsid w:val="00C01258"/>
    <w:rsid w:val="00C22577"/>
    <w:rsid w:val="00C41EF0"/>
    <w:rsid w:val="00C460B4"/>
    <w:rsid w:val="00C66125"/>
    <w:rsid w:val="00C70EB6"/>
    <w:rsid w:val="00C9008D"/>
    <w:rsid w:val="00C97B13"/>
    <w:rsid w:val="00CA2D14"/>
    <w:rsid w:val="00CE1B70"/>
    <w:rsid w:val="00CF269D"/>
    <w:rsid w:val="00D27CFC"/>
    <w:rsid w:val="00D35AF9"/>
    <w:rsid w:val="00D501B8"/>
    <w:rsid w:val="00D9063F"/>
    <w:rsid w:val="00D96940"/>
    <w:rsid w:val="00D96CAF"/>
    <w:rsid w:val="00DA52F2"/>
    <w:rsid w:val="00DB3F03"/>
    <w:rsid w:val="00DC049E"/>
    <w:rsid w:val="00E02E41"/>
    <w:rsid w:val="00E8187B"/>
    <w:rsid w:val="00EA622E"/>
    <w:rsid w:val="00EB3CE6"/>
    <w:rsid w:val="00EF0618"/>
    <w:rsid w:val="00F217DB"/>
    <w:rsid w:val="00F23766"/>
    <w:rsid w:val="00F70C17"/>
    <w:rsid w:val="00F711B1"/>
    <w:rsid w:val="00F876F2"/>
    <w:rsid w:val="00FB447A"/>
    <w:rsid w:val="00FC52A5"/>
    <w:rsid w:val="00FE5F3B"/>
    <w:rsid w:val="00FF21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FAF4"/>
  <w15:docId w15:val="{9536A452-6DED-4D79-9E65-4ED0B1B8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nhideWhenUsed/>
    <w:rsid w:val="006960B5"/>
    <w:rPr>
      <w:sz w:val="16"/>
      <w:szCs w:val="16"/>
    </w:rPr>
  </w:style>
  <w:style w:type="paragraph" w:styleId="CommentText">
    <w:name w:val="annotation text"/>
    <w:basedOn w:val="Normal"/>
    <w:link w:val="CommentTextChar"/>
    <w:unhideWhenUsed/>
    <w:rsid w:val="006960B5"/>
  </w:style>
  <w:style w:type="character" w:customStyle="1" w:styleId="CommentTextChar">
    <w:name w:val="Comment Text Char"/>
    <w:basedOn w:val="DefaultParagraphFont"/>
    <w:link w:val="CommentText"/>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DefaultText">
    <w:name w:val="Default Text"/>
    <w:basedOn w:val="Normal"/>
    <w:link w:val="DefaultTextChar"/>
    <w:rsid w:val="00A36106"/>
    <w:pPr>
      <w:overflowPunct w:val="0"/>
      <w:autoSpaceDE w:val="0"/>
      <w:autoSpaceDN w:val="0"/>
      <w:adjustRightInd w:val="0"/>
      <w:textAlignment w:val="baseline"/>
    </w:pPr>
    <w:rPr>
      <w:rFonts w:ascii="Times New Roman" w:eastAsia="Times New Roman" w:hAnsi="Times New Roman"/>
      <w:sz w:val="24"/>
      <w:szCs w:val="24"/>
      <w:lang w:val="en-US" w:eastAsia="en-US"/>
    </w:rPr>
  </w:style>
  <w:style w:type="character" w:customStyle="1" w:styleId="InitialStyle">
    <w:name w:val="InitialStyle"/>
    <w:rsid w:val="00A36106"/>
    <w:rPr>
      <w:rFonts w:ascii="Courier New" w:hAnsi="Courier New" w:cs="Courier New"/>
      <w:color w:val="auto"/>
      <w:spacing w:val="0"/>
      <w:sz w:val="24"/>
      <w:szCs w:val="24"/>
    </w:rPr>
  </w:style>
  <w:style w:type="character" w:customStyle="1" w:styleId="DefaultTextChar">
    <w:name w:val="Default Text Char"/>
    <w:link w:val="DefaultText"/>
    <w:locked/>
    <w:rsid w:val="00A36106"/>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2B43A5"/>
  </w:style>
  <w:style w:type="character" w:customStyle="1" w:styleId="FootnoteTextChar">
    <w:name w:val="Footnote Text Char"/>
    <w:basedOn w:val="DefaultParagraphFont"/>
    <w:link w:val="FootnoteText"/>
    <w:uiPriority w:val="99"/>
    <w:semiHidden/>
    <w:rsid w:val="002B43A5"/>
    <w:rPr>
      <w:rFonts w:ascii="Arial" w:eastAsia="Calibri" w:hAnsi="Arial" w:cs="Times New Roman"/>
      <w:sz w:val="20"/>
      <w:szCs w:val="20"/>
      <w:lang w:eastAsia="en-GB"/>
    </w:rPr>
  </w:style>
  <w:style w:type="character" w:styleId="FootnoteReference">
    <w:name w:val="footnote reference"/>
    <w:basedOn w:val="DefaultParagraphFont"/>
    <w:uiPriority w:val="99"/>
    <w:semiHidden/>
    <w:unhideWhenUsed/>
    <w:rsid w:val="002B43A5"/>
    <w:rPr>
      <w:vertAlign w:val="superscript"/>
    </w:rPr>
  </w:style>
  <w:style w:type="paragraph" w:customStyle="1" w:styleId="Default">
    <w:name w:val="Default"/>
    <w:rsid w:val="001F22C5"/>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UnresolvedMention">
    <w:name w:val="Unresolved Mention"/>
    <w:basedOn w:val="DefaultParagraphFont"/>
    <w:uiPriority w:val="99"/>
    <w:semiHidden/>
    <w:unhideWhenUsed/>
    <w:rsid w:val="00D35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ecteddisclosure@legalaidboard.ie" TargetMode="External"/><Relationship Id="rId4" Type="http://schemas.openxmlformats.org/officeDocument/2006/relationships/settings" Target="settings.xml"/><Relationship Id="rId9" Type="http://schemas.openxmlformats.org/officeDocument/2006/relationships/hyperlink" Target="https://www.legalaidboard.ie/en/policy-and-guidance/protected-disclosures/protected-disclosures-in-the-legal-aid-board-april-2024.pdfhttps:/www.legalaidboard.ie/en/policy-and-guidance/protected-disclosures/protected-disclosures-in-the-legal-aid-board-april-2024.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8D0B-E9F9-43D2-9BDF-9FCE0AB1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X O'Sullivan</dc:creator>
  <cp:lastModifiedBy>Robert x. Glynn</cp:lastModifiedBy>
  <cp:revision>2</cp:revision>
  <dcterms:created xsi:type="dcterms:W3CDTF">2025-02-25T10:51:00Z</dcterms:created>
  <dcterms:modified xsi:type="dcterms:W3CDTF">2025-02-25T10:51:00Z</dcterms:modified>
</cp:coreProperties>
</file>